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963C1" w14:textId="77777777" w:rsidR="008A227B" w:rsidRPr="008A227B" w:rsidRDefault="008A227B" w:rsidP="008A227B">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8A227B">
        <w:rPr>
          <w:rFonts w:ascii="Lato" w:eastAsia="Times New Roman" w:hAnsi="Lato" w:cs="Times New Roman"/>
          <w:color w:val="CC3300"/>
          <w:kern w:val="36"/>
          <w:sz w:val="36"/>
          <w:szCs w:val="36"/>
          <w:lang w:eastAsia="fr-BE"/>
          <w14:ligatures w14:val="none"/>
        </w:rPr>
        <w:t>Les relèvements de taux tracassent les investisseurs</w:t>
      </w:r>
    </w:p>
    <w:p w14:paraId="7DF30A90" w14:textId="77777777" w:rsidR="008A227B" w:rsidRDefault="008A227B" w:rsidP="008A227B">
      <w:pPr>
        <w:shd w:val="clear" w:color="auto" w:fill="FFFFFF"/>
        <w:spacing w:before="75" w:after="75" w:line="240" w:lineRule="auto"/>
        <w:jc w:val="both"/>
        <w:rPr>
          <w:rFonts w:ascii="Lato" w:eastAsia="Times New Roman" w:hAnsi="Lato" w:cs="Times New Roman"/>
          <w:i/>
          <w:iCs/>
          <w:color w:val="000000"/>
          <w:kern w:val="0"/>
          <w:sz w:val="23"/>
          <w:szCs w:val="23"/>
          <w:lang w:eastAsia="fr-BE"/>
          <w14:ligatures w14:val="none"/>
        </w:rPr>
      </w:pPr>
    </w:p>
    <w:p w14:paraId="1BCF08C2" w14:textId="4D4F801F" w:rsidR="008A227B" w:rsidRPr="008A227B" w:rsidRDefault="008A227B" w:rsidP="008A227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A227B">
        <w:rPr>
          <w:rFonts w:ascii="Lato" w:eastAsia="Times New Roman" w:hAnsi="Lato" w:cs="Times New Roman"/>
          <w:color w:val="000000"/>
          <w:kern w:val="0"/>
          <w:sz w:val="23"/>
          <w:szCs w:val="23"/>
          <w:lang w:eastAsia="fr-BE"/>
          <w14:ligatures w14:val="none"/>
        </w:rPr>
        <w:t>Les cours du </w:t>
      </w:r>
      <w:r w:rsidRPr="008A227B">
        <w:rPr>
          <w:rFonts w:ascii="Lato" w:eastAsia="Times New Roman" w:hAnsi="Lato" w:cs="Times New Roman"/>
          <w:color w:val="000000"/>
          <w:kern w:val="0"/>
          <w:sz w:val="23"/>
          <w:szCs w:val="23"/>
          <w:u w:val="single"/>
          <w:lang w:eastAsia="fr-BE"/>
          <w14:ligatures w14:val="none"/>
        </w:rPr>
        <w:t>cuivre</w:t>
      </w:r>
      <w:r w:rsidRPr="008A227B">
        <w:rPr>
          <w:rFonts w:ascii="Lato" w:eastAsia="Times New Roman" w:hAnsi="Lato" w:cs="Times New Roman"/>
          <w:color w:val="000000"/>
          <w:kern w:val="0"/>
          <w:sz w:val="23"/>
          <w:szCs w:val="23"/>
          <w:lang w:eastAsia="fr-BE"/>
          <w14:ligatures w14:val="none"/>
        </w:rPr>
        <w:t> et des autres métaux industriels sont en baisse. Les investisseurs, qui anticipent les prochains relèvements de taux, sont prudents et les marchés boursiers internationaux en pâtissent. Sur le LME, le </w:t>
      </w:r>
      <w:r w:rsidRPr="008A227B">
        <w:rPr>
          <w:rFonts w:ascii="Lato" w:eastAsia="Times New Roman" w:hAnsi="Lato" w:cs="Times New Roman"/>
          <w:color w:val="000000"/>
          <w:kern w:val="0"/>
          <w:sz w:val="23"/>
          <w:szCs w:val="23"/>
          <w:u w:val="single"/>
          <w:lang w:eastAsia="fr-BE"/>
          <w14:ligatures w14:val="none"/>
        </w:rPr>
        <w:t>cuivre</w:t>
      </w:r>
      <w:r w:rsidRPr="008A227B">
        <w:rPr>
          <w:rFonts w:ascii="Lato" w:eastAsia="Times New Roman" w:hAnsi="Lato" w:cs="Times New Roman"/>
          <w:color w:val="000000"/>
          <w:kern w:val="0"/>
          <w:sz w:val="23"/>
          <w:szCs w:val="23"/>
          <w:lang w:eastAsia="fr-BE"/>
          <w14:ligatures w14:val="none"/>
        </w:rPr>
        <w:t> pour livraison à trois mois perd 1,3 % à 8,899.50 $/t.</w:t>
      </w:r>
    </w:p>
    <w:p w14:paraId="708FBF42" w14:textId="77777777" w:rsidR="008A227B" w:rsidRPr="008A227B" w:rsidRDefault="008A227B" w:rsidP="008A227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A227B">
        <w:rPr>
          <w:rFonts w:ascii="Lato" w:eastAsia="Times New Roman" w:hAnsi="Lato" w:cs="Times New Roman"/>
          <w:color w:val="000000"/>
          <w:kern w:val="0"/>
          <w:sz w:val="23"/>
          <w:szCs w:val="23"/>
          <w:lang w:eastAsia="fr-BE"/>
          <w14:ligatures w14:val="none"/>
        </w:rPr>
        <w:t>L’inflation persiste et, pour la contrer, les relèvements de taux freinent la croissance économique et la demande en métaux, tout en renforçant le dollar, ce qui rend les métaux plus onéreux pour les détenteurs d’autres devises. « </w:t>
      </w:r>
      <w:r w:rsidRPr="008A227B">
        <w:rPr>
          <w:rFonts w:ascii="Lato" w:eastAsia="Times New Roman" w:hAnsi="Lato" w:cs="Times New Roman"/>
          <w:i/>
          <w:iCs/>
          <w:color w:val="000000"/>
          <w:kern w:val="0"/>
          <w:sz w:val="23"/>
          <w:szCs w:val="23"/>
          <w:lang w:eastAsia="fr-BE"/>
          <w14:ligatures w14:val="none"/>
        </w:rPr>
        <w:t>Le marché se concentre encore une fois sur les futurs relèvements de taux et sur le goût du risque </w:t>
      </w:r>
      <w:r w:rsidRPr="008A227B">
        <w:rPr>
          <w:rFonts w:ascii="Lato" w:eastAsia="Times New Roman" w:hAnsi="Lato" w:cs="Times New Roman"/>
          <w:color w:val="000000"/>
          <w:kern w:val="0"/>
          <w:sz w:val="23"/>
          <w:szCs w:val="23"/>
          <w:lang w:eastAsia="fr-BE"/>
          <w14:ligatures w14:val="none"/>
        </w:rPr>
        <w:t xml:space="preserve">», commente </w:t>
      </w:r>
      <w:proofErr w:type="spellStart"/>
      <w:r w:rsidRPr="008A227B">
        <w:rPr>
          <w:rFonts w:ascii="Lato" w:eastAsia="Times New Roman" w:hAnsi="Lato" w:cs="Times New Roman"/>
          <w:color w:val="000000"/>
          <w:kern w:val="0"/>
          <w:sz w:val="23"/>
          <w:szCs w:val="23"/>
          <w:lang w:eastAsia="fr-BE"/>
          <w14:ligatures w14:val="none"/>
        </w:rPr>
        <w:t>Ole</w:t>
      </w:r>
      <w:proofErr w:type="spellEnd"/>
      <w:r w:rsidRPr="008A227B">
        <w:rPr>
          <w:rFonts w:ascii="Lato" w:eastAsia="Times New Roman" w:hAnsi="Lato" w:cs="Times New Roman"/>
          <w:color w:val="000000"/>
          <w:kern w:val="0"/>
          <w:sz w:val="23"/>
          <w:szCs w:val="23"/>
          <w:lang w:eastAsia="fr-BE"/>
          <w14:ligatures w14:val="none"/>
        </w:rPr>
        <w:t xml:space="preserve"> Hansen, stratège pour Saxo Bank.</w:t>
      </w:r>
    </w:p>
    <w:p w14:paraId="55A93D70" w14:textId="77777777" w:rsidR="008A227B" w:rsidRPr="008A227B" w:rsidRDefault="008A227B" w:rsidP="008A227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A227B">
        <w:rPr>
          <w:rFonts w:ascii="Lato" w:eastAsia="Times New Roman" w:hAnsi="Lato" w:cs="Times New Roman"/>
          <w:color w:val="000000"/>
          <w:kern w:val="0"/>
          <w:sz w:val="23"/>
          <w:szCs w:val="23"/>
          <w:lang w:eastAsia="fr-BE"/>
          <w14:ligatures w14:val="none"/>
        </w:rPr>
        <w:t>Des données parues ce jour indiquent une forte inflation au Royaume-Uni et dans l’Union européenne. Les producteurs japonais sont pessimistes quant à la demande mondiale.</w:t>
      </w:r>
    </w:p>
    <w:p w14:paraId="58A6D245" w14:textId="77777777" w:rsidR="008A227B" w:rsidRPr="008A227B" w:rsidRDefault="008A227B" w:rsidP="008A227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A227B">
        <w:rPr>
          <w:rFonts w:ascii="Lato" w:eastAsia="Times New Roman" w:hAnsi="Lato" w:cs="Times New Roman"/>
          <w:color w:val="000000"/>
          <w:kern w:val="0"/>
          <w:sz w:val="23"/>
          <w:szCs w:val="23"/>
          <w:lang w:eastAsia="fr-BE"/>
          <w14:ligatures w14:val="none"/>
        </w:rPr>
        <w:t xml:space="preserve">Les cours bénéficient d’un certain soutien grâce à la croissance économique chinoise. Cependant, le secteur immobilier, qui consomme le plus de métaux, demeure l’un des plus lents, selon l’analyste Carsten </w:t>
      </w:r>
      <w:proofErr w:type="spellStart"/>
      <w:r w:rsidRPr="008A227B">
        <w:rPr>
          <w:rFonts w:ascii="Lato" w:eastAsia="Times New Roman" w:hAnsi="Lato" w:cs="Times New Roman"/>
          <w:color w:val="000000"/>
          <w:kern w:val="0"/>
          <w:sz w:val="23"/>
          <w:szCs w:val="23"/>
          <w:lang w:eastAsia="fr-BE"/>
          <w14:ligatures w14:val="none"/>
        </w:rPr>
        <w:t>Menke</w:t>
      </w:r>
      <w:proofErr w:type="spellEnd"/>
      <w:r w:rsidRPr="008A227B">
        <w:rPr>
          <w:rFonts w:ascii="Lato" w:eastAsia="Times New Roman" w:hAnsi="Lato" w:cs="Times New Roman"/>
          <w:color w:val="000000"/>
          <w:kern w:val="0"/>
          <w:sz w:val="23"/>
          <w:szCs w:val="23"/>
          <w:lang w:eastAsia="fr-BE"/>
          <w14:ligatures w14:val="none"/>
        </w:rPr>
        <w:t>. « </w:t>
      </w:r>
      <w:r w:rsidRPr="008A227B">
        <w:rPr>
          <w:rFonts w:ascii="Lato" w:eastAsia="Times New Roman" w:hAnsi="Lato" w:cs="Times New Roman"/>
          <w:i/>
          <w:iCs/>
          <w:color w:val="000000"/>
          <w:kern w:val="0"/>
          <w:sz w:val="23"/>
          <w:szCs w:val="23"/>
          <w:lang w:eastAsia="fr-BE"/>
          <w14:ligatures w14:val="none"/>
        </w:rPr>
        <w:t>Il y a bien une croissance économique en Chine, mais elle n’est pas de la nature qui bénéficierait le plus aux métaux </w:t>
      </w:r>
      <w:r w:rsidRPr="008A227B">
        <w:rPr>
          <w:rFonts w:ascii="Lato" w:eastAsia="Times New Roman" w:hAnsi="Lato" w:cs="Times New Roman"/>
          <w:color w:val="000000"/>
          <w:kern w:val="0"/>
          <w:sz w:val="23"/>
          <w:szCs w:val="23"/>
          <w:lang w:eastAsia="fr-BE"/>
          <w14:ligatures w14:val="none"/>
        </w:rPr>
        <w:t>», note-t-il.</w:t>
      </w:r>
    </w:p>
    <w:p w14:paraId="12DD8014" w14:textId="77777777" w:rsidR="008A227B" w:rsidRPr="008A227B" w:rsidRDefault="008A227B" w:rsidP="008A227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A227B">
        <w:rPr>
          <w:rFonts w:ascii="Lato" w:eastAsia="Times New Roman" w:hAnsi="Lato" w:cs="Times New Roman"/>
          <w:color w:val="000000"/>
          <w:kern w:val="0"/>
          <w:sz w:val="23"/>
          <w:szCs w:val="23"/>
          <w:u w:val="single"/>
          <w:lang w:eastAsia="fr-BE"/>
          <w14:ligatures w14:val="none"/>
        </w:rPr>
        <w:t>L’or</w:t>
      </w:r>
      <w:r w:rsidRPr="008A227B">
        <w:rPr>
          <w:rFonts w:ascii="Lato" w:eastAsia="Times New Roman" w:hAnsi="Lato" w:cs="Times New Roman"/>
          <w:color w:val="000000"/>
          <w:kern w:val="0"/>
          <w:sz w:val="23"/>
          <w:szCs w:val="23"/>
          <w:lang w:eastAsia="fr-BE"/>
          <w14:ligatures w14:val="none"/>
        </w:rPr>
        <w:t> spot perd 1,5 % à 1,974.89 $/once. Le rendement des obligations est proche d’un pic d’1 mois et tire le dollar vers le haut.</w:t>
      </w:r>
    </w:p>
    <w:p w14:paraId="325A5717"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7B"/>
    <w:rsid w:val="00287462"/>
    <w:rsid w:val="008A22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A4C6C"/>
  <w15:chartTrackingRefBased/>
  <w15:docId w15:val="{3EF58C7B-5CCC-4175-A99C-625278BB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99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1155</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2023-04-24T08:03:00Z</dcterms:created>
  <dcterms:modified xsi:type="dcterms:W3CDTF">2023-04-24T08:03:00Z</dcterms:modified>
</cp:coreProperties>
</file>